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351" w:rsidRPr="00E46895" w:rsidRDefault="007D3EF9" w:rsidP="00E46895">
      <w:pPr>
        <w:pStyle w:val="BodyText"/>
        <w:ind w:right="-228"/>
        <w:jc w:val="right"/>
        <w:rPr>
          <w:rFonts w:ascii="Calibri" w:hAnsi="Calibri" w:cs="Calibri"/>
          <w:b/>
        </w:rPr>
      </w:pPr>
      <w:bookmarkStart w:id="0" w:name="_GoBack"/>
      <w:bookmarkEnd w:id="0"/>
      <w:r w:rsidRPr="00B63696">
        <w:rPr>
          <w:rFonts w:ascii="Calibri" w:hAnsi="Calibri" w:cs="Calibri"/>
        </w:rPr>
        <w:t xml:space="preserve">           </w:t>
      </w:r>
      <w:r w:rsidR="00D44351" w:rsidRPr="00E46895">
        <w:rPr>
          <w:rFonts w:ascii="Calibri" w:hAnsi="Calibri" w:cs="Calibri"/>
          <w:b/>
        </w:rPr>
        <w:t>Anexa</w:t>
      </w:r>
      <w:r w:rsidR="00E46895" w:rsidRPr="00E46895">
        <w:rPr>
          <w:rFonts w:ascii="Calibri" w:hAnsi="Calibri" w:cs="Calibri"/>
          <w:b/>
        </w:rPr>
        <w:t xml:space="preserve"> 6</w:t>
      </w:r>
    </w:p>
    <w:p w:rsidR="00D44351" w:rsidRPr="00B63696" w:rsidRDefault="00D44351" w:rsidP="00AD7CAF">
      <w:pPr>
        <w:pStyle w:val="BodyText"/>
        <w:ind w:left="1843" w:right="2182"/>
        <w:jc w:val="center"/>
        <w:rPr>
          <w:rFonts w:ascii="Calibri" w:hAnsi="Calibri" w:cs="Calibri"/>
        </w:rPr>
      </w:pPr>
      <w:r w:rsidRPr="00B63696">
        <w:rPr>
          <w:rFonts w:ascii="Calibri" w:hAnsi="Calibri" w:cs="Calibri"/>
        </w:rPr>
        <w:t>GRILA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DE ANALIZĂ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A CONFORMITATII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ȘI CALITĂȚII</w:t>
      </w:r>
      <w:r w:rsidRPr="00B63696">
        <w:rPr>
          <w:rFonts w:ascii="Calibri" w:hAnsi="Calibri" w:cs="Calibri"/>
          <w:spacing w:val="1"/>
        </w:rPr>
        <w:t xml:space="preserve"> D</w:t>
      </w:r>
      <w:r w:rsidRPr="00B63696">
        <w:rPr>
          <w:rFonts w:ascii="Calibri" w:hAnsi="Calibri" w:cs="Calibri"/>
        </w:rPr>
        <w:t xml:space="preserve">OCUMENTAŢIEI DE AVIZARE A LUCRĂRILOR DE INTERVENŢII </w:t>
      </w:r>
      <w:r w:rsidRPr="00B63696">
        <w:rPr>
          <w:rFonts w:ascii="Calibri" w:hAnsi="Calibri" w:cs="Calibri"/>
          <w:spacing w:val="-58"/>
        </w:rPr>
        <w:t xml:space="preserve"> </w:t>
      </w:r>
      <w:r w:rsidRPr="00B63696">
        <w:rPr>
          <w:rFonts w:ascii="Calibri" w:hAnsi="Calibri" w:cs="Calibri"/>
        </w:rPr>
        <w:t>(DALI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–</w:t>
      </w:r>
      <w:r w:rsidRPr="00B63696">
        <w:rPr>
          <w:rFonts w:ascii="Calibri" w:hAnsi="Calibri" w:cs="Calibri"/>
          <w:spacing w:val="-2"/>
        </w:rPr>
        <w:t xml:space="preserve"> </w:t>
      </w:r>
      <w:r w:rsidRPr="00B63696">
        <w:rPr>
          <w:rFonts w:ascii="Calibri" w:hAnsi="Calibri" w:cs="Calibri"/>
        </w:rPr>
        <w:t>HG 907/2016)</w:t>
      </w:r>
    </w:p>
    <w:p w:rsidR="00D44351" w:rsidRPr="00B63696" w:rsidRDefault="00D44351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B63696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B63696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apel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Cod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F5775A" w:rsidRPr="00B63696" w:rsidRDefault="00F5775A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52"/>
        <w:gridCol w:w="6662"/>
        <w:gridCol w:w="567"/>
        <w:gridCol w:w="567"/>
        <w:gridCol w:w="709"/>
        <w:gridCol w:w="1275"/>
      </w:tblGrid>
      <w:tr w:rsidR="00D44351" w:rsidRPr="00B63696" w:rsidTr="00B63696">
        <w:trPr>
          <w:trHeight w:val="674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696" w:rsidRDefault="00B63696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338" w:hanging="33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Observa</w:t>
            </w:r>
            <w:r w:rsidR="00B63696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</w:tr>
      <w:tr w:rsidR="00D44351" w:rsidRPr="00B63696" w:rsidTr="00B63696">
        <w:trPr>
          <w:trHeight w:val="35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322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 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B63696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documentaţiei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avizare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lucrărilor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D44351" w:rsidRPr="00B63696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 precizeaza, de asemenea,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data elaborarii/actualizarii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18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cel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nr       </w:t>
            </w:r>
            <w:r w:rsidRPr="00B63696">
              <w:rPr>
                <w:rFonts w:ascii="Calibri" w:hAnsi="Calibri" w:cs="Calibri"/>
                <w:spacing w:val="2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dată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numele şi prenumele în clar ale proiectanţilor pe specialităţi, ale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persoanei responsabile de proiect - şef de proiect/director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–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respectiv cele din Anexa 5. Documentaţie de Avizare a Lucrărilor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44351" w:rsidRPr="00B63696" w:rsidRDefault="00D44351" w:rsidP="009D7EB0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B63696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Continutul</w:t>
            </w:r>
            <w:r w:rsidRPr="00B63696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DALI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="009D7EB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Situaţia</w:t>
            </w:r>
            <w:r w:rsidRPr="00B63696">
              <w:rPr>
                <w:rFonts w:ascii="Calibri" w:hAnsi="Calibri" w:cs="Calibri"/>
                <w:b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existentă</w:t>
            </w:r>
            <w:r w:rsidRPr="00B63696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necesitatea realizării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intervenţii,</w:t>
            </w:r>
            <w:r w:rsidRPr="00B63696">
              <w:rPr>
                <w:rFonts w:ascii="Calibri" w:hAnsi="Calibri" w:cs="Calibri"/>
                <w:b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2,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contextului: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politici, strategii,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legislaţie,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structuri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instituţionale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financiare?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situaţiei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existente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identificarea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necesităţilor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deficienţelor?</w:t>
            </w:r>
          </w:p>
          <w:p w:rsidR="00D44351" w:rsidRPr="00B63696" w:rsidRDefault="00D44351" w:rsidP="009D7EB0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Obiective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preconizate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7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spacing w:val="7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atinse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7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realizarea</w:t>
            </w:r>
            <w:r w:rsidRPr="00B63696">
              <w:rPr>
                <w:rFonts w:ascii="Calibri" w:hAnsi="Calibri" w:cs="Calibri"/>
                <w:spacing w:val="7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="009D7E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Descrierea construcţiei existente,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3,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Particularităţi ale amplasamentului?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 Regimul juridic?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 tehnice şi parametri specifici?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Starea tehnică, inclusiv sistemul structural şi analiza diagnostic,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forţei majore,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B63696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 expertizei tehnice şi,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energetic,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studiilor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diagnosticare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clasa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risc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seismic?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două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soluţiile tehnice şi măsurile propuse de către expertul tehnic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şi, după caz, auditorul energetic spre a fi dezvoltate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în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documentaţiei 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avizare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recomandarea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exigenţelor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calitate?</w:t>
            </w:r>
          </w:p>
          <w:p w:rsidR="00571C43" w:rsidRPr="00B63696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*2) Studiile de diagnosticare pot fi: studii de identificare a alcătuirilor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constructive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situri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arheologice,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compatibilităţii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conformării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spaţiale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clădirii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existente cu normele specifice funcţiunii şi a măsurii în care aceasta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răspunde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B63696">
              <w:rPr>
                <w:rFonts w:ascii="Calibri" w:hAnsi="Calibri" w:cs="Calibri"/>
                <w:i/>
                <w:spacing w:val="2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</w:p>
          <w:p w:rsidR="00D44351" w:rsidRPr="00B63696" w:rsidRDefault="00571C4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 prin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844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Identificarea scenariilor/opţiunilor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tehnico-economice (minimum două) şi analiza detaliată a acestora,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5,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tehnică,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tehnologic,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funcţional-arhitectural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economic,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cuprinzând: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right="134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principalelor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Descrierea,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altor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 incluse în soluţia tehnică de intervenţie propusă, respectiv hidroizolaţii, termoizolaţii, repararea/înlocuirea instalaţiilor/echipamentelor aferente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vulnerabilităţilor cauzate de factori de risc, antropici şi naturali, inclusiv de schimbări climatice ce pot afecta investiţia?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caracteristicile tehnice şi parametrii specifici investiţiei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rezultate în urma realizării lucrărilor de intervenţie?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Durata de realizare şi etapele principale corelate cu datele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prevăzute în graficul orientativ de realizare a investiţiei,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detaliat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etape principale?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Costurile estimative ale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Sustenabilitatea realizării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2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836583" w:rsidP="009D7EB0">
            <w:pPr>
              <w:pStyle w:val="TableParagraph"/>
              <w:ind w:left="132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Scenariul/Opţiunea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economic(ă)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optim(ă),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recomandat(ă),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6,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Comparaţia scenariilor/opţiunilor propus(e), din punct de vedere tehnic, economic, financiar, al sustenabilităţii şi riscurilor?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Selectarea şi justificarea scenariului/opţiunii optim(e), recomandat(e)?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Principalii indicatori tehnico-economici aferenţi investiţiei?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Prezentarea modului în care se asigură conformarea cu reglementările specifice funcţiunii preconizate din punctul de vedere al asigurării tuturor cerinţelor fundamentale aplicabile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construcţiei, conform gradului de detaliere al propunerilor tehnice?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Urbanismul, acordurile şi avizele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conforme,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7,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emis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obţinerii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DA4DB8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vizat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Cadastru şi 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 prevăzute de lege?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 conforme privind asigurarea utilităţilor, în cazul suplimentării capacităţii existente?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Avize, acorduri şi studii specifice, după caz, care pot condiţiona soluţiile tehnice, precum: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privind posibilitatea utilizării unor sisteme alternative de eficienţă ridicată pentru creşterea performanţei energetice întocmit conform Metodologiei de calcul al performantei energetice a cladirilor, aprobată prin Ordinul ministrului transporturilor, constructiilor si turismului nr. 157/2007 cu modificările și completările ulterioare 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de trafic şi studiu de circulaţie,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raport de diagnostic arheologic, în cazul intervenţiilor în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situri arheologice?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istoric, în cazul monumentelor istorice?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 tehnico-economice aferente obiectivelor/proiectelor de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5-a</w:t>
            </w:r>
            <w:r w:rsidRPr="00B63696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si devizul pe obiect,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 conform Metodologiei prezentate in Anexa 6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7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EF7F20" w:rsidRPr="00B63696" w:rsidRDefault="00836583" w:rsidP="009D7EB0">
            <w:pPr>
              <w:pStyle w:val="TableParagraph"/>
              <w:ind w:left="468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B63696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B63696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cuprinse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="00EF7F20"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b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B63696">
              <w:rPr>
                <w:rFonts w:ascii="Calibri" w:hAnsi="Calibri" w:cs="Calibri"/>
                <w:b/>
                <w:spacing w:val="7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8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piesele desenate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scara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 raport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 pentru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constructia existentă: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EF7F20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</w:t>
            </w:r>
            <w:r w:rsidR="00836583" w:rsidRPr="00B63696">
              <w:rPr>
                <w:rFonts w:ascii="Calibri" w:hAnsi="Calibri" w:cs="Calibri"/>
                <w:sz w:val="24"/>
                <w:szCs w:val="24"/>
              </w:rPr>
              <w:t>eleveu de arhitectură şi, după caz, structura şi instalaţii - planuri, secţiuni, faţade, cotate?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scenariul/opţiunea tehnico-economic(ă) optim(ă), recomandat(ă):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generale,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profile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longitudinale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şi transversale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plansele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 fost anexate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finantare 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B63696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dupa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fost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și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B63696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drept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numar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TNA,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OAR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Șeful de proiect complex, expert/specialist, in 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     m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lor,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o descriere a lucrarilor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apă,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="00EF7F20" w:rsidRPr="00B63696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B63696">
              <w:rPr>
                <w:rFonts w:ascii="Calibri" w:eastAsia="Calibri" w:hAnsi="Calibri" w:cs="Calibri"/>
                <w:color w:val="000000"/>
              </w:rPr>
              <w:t>, sunt prezentate:</w:t>
            </w:r>
          </w:p>
          <w:p w:rsidR="00B8332B" w:rsidRPr="00B63696" w:rsidRDefault="00B8332B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 prezintă evaluarea impactului proiectului asupra emisiilor de GES. Dacă p</w:t>
            </w:r>
            <w:r w:rsidRPr="00B63696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a amprentei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carbon, este  prezinta analiza aferentă în mod succint într-o declarație privind examinarea neutralității climatice.</w:t>
            </w:r>
          </w:p>
          <w:p w:rsidR="00502151" w:rsidRPr="00B63696" w:rsidRDefault="00502151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B8332B" w:rsidRPr="00B63696" w:rsidRDefault="00B8332B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</w:t>
            </w:r>
          </w:p>
          <w:p w:rsidR="00EF7F20" w:rsidRPr="00B63696" w:rsidRDefault="00EF7F20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</w:p>
          <w:p w:rsidR="00EF7F20" w:rsidRPr="00B63696" w:rsidRDefault="00EF7F20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 (a)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Evaluarea expunerii la riscuri (identificarea riscurilor care sunt relevante pentru locația proiectului)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i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vulnerabilitate (identificarea potențialelor riscuri semnificative)</w:t>
            </w:r>
          </w:p>
          <w:p w:rsidR="007D0CFC" w:rsidRPr="00B63696" w:rsidRDefault="007D0CFC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</w:p>
          <w:p w:rsidR="00CA70CF" w:rsidRPr="00B63696" w:rsidRDefault="00CA70CF" w:rsidP="005B75BC">
            <w:pPr>
              <w:spacing w:after="120"/>
              <w:ind w:left="132" w:right="134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b/>
                <w:color w:val="000000"/>
              </w:rPr>
              <w:t>pentru etapa: II. Adaptarea (reziliența la schimbările climatice); (b)</w:t>
            </w:r>
            <w:r w:rsidRPr="00B63696">
              <w:rPr>
                <w:rFonts w:ascii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Probabilitatea (probabilitatea ca riscurile climatice identificate sa aibă loc in timpul duratei de viață a proiectului)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Impactul (analizează consecințele în cazul în care apare pericolul climatic identificat)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Riscul (identifica riscurile potențiale cele mai semnificative și cele în care trebuie luate măsuri de adaptare)</w:t>
            </w:r>
          </w:p>
          <w:p w:rsidR="00CA70CF" w:rsidRPr="00B63696" w:rsidRDefault="00CA70CF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  <w:r w:rsidRPr="00B63696">
              <w:rPr>
                <w:rFonts w:ascii="Calibri" w:hAnsi="Calibri" w:cs="Calibri"/>
                <w:b/>
                <w:i/>
                <w:color w:val="000000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FF1CA4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Documentatia tehnico economică reflectă măsurile de imunizare la schimb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rile climatice prev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zute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 raportul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ntocmit conform cerințelor din Comunicarea Comisiei Europene privind Orientările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5B75BC">
            <w:pPr>
              <w:pStyle w:val="TableParagraph"/>
              <w:ind w:left="132" w:right="134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aspectele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calitative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o </w:t>
            </w:r>
            <w:r w:rsidRPr="00B63696">
              <w:rPr>
                <w:rFonts w:ascii="Calibri" w:hAnsi="Calibri" w:cs="Calibri"/>
                <w:b/>
                <w:lang w:val="ro-RO"/>
              </w:rPr>
              <w:t xml:space="preserve">corespondență </w:t>
            </w:r>
            <w:r w:rsidRPr="00B63696">
              <w:rPr>
                <w:rFonts w:ascii="Calibri" w:hAnsi="Calibri" w:cs="Calibri"/>
                <w:lang w:val="ro-RO"/>
              </w:rPr>
              <w:t>între obiectele de investiție (inclusiv tipurile 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lucrări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construcții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propuse,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dotări,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etc.)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din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cadrul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DALI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si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cele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descrise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cererea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 specificații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Graficul orientativ de realizare a investiției: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corelat cu cel prezentat în cadrul Cererii de Finanţare?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corect estimat ca și perioada de realizare (conform tehnologiilor de execuție, etc.)?</w:t>
            </w:r>
          </w:p>
          <w:p w:rsidR="00D202B1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respectă termenele limită ale programului de finanțare?</w:t>
            </w:r>
          </w:p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Documentele anexate la cererea de finanţare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D.A.L.I.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s-a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baza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concluziilor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raportului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expertiză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tehnică, si (după caz) a auditului energetic, luându-se în calcul inclusiv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scenariul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recomandat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 către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elaboratorul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expertizei tehnice,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respectiv auditului</w:t>
            </w:r>
            <w:r w:rsidRPr="00B63696">
              <w:rPr>
                <w:rFonts w:ascii="Calibri" w:hAnsi="Calibri" w:cs="Calibri"/>
                <w:spacing w:val="-7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9D7EB0">
            <w:pPr>
              <w:pStyle w:val="Default"/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Proiectul respecta prevederile din: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certificatul de urbanism anexat?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Studiul topografic, vizat de către Oficiul de Cadastru şi Publicitate Imobiliară?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Extrasul de carte funciară, </w:t>
            </w:r>
            <w:r w:rsidR="00CA70CF" w:rsidRPr="00B63696">
              <w:rPr>
                <w:rFonts w:ascii="Calibri" w:hAnsi="Calibri" w:cs="Calibri"/>
                <w:lang w:val="ro-RO"/>
              </w:rPr>
              <w:t>după</w:t>
            </w:r>
            <w:r w:rsidRPr="00B63696">
              <w:rPr>
                <w:rFonts w:ascii="Calibri" w:hAnsi="Calibri" w:cs="Calibri"/>
                <w:lang w:val="ro-RO"/>
              </w:rPr>
              <w:t xml:space="preserve">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 conforme, privind asigurarea </w:t>
            </w:r>
            <w:r w:rsidR="00CA70CF" w:rsidRPr="00B63696">
              <w:rPr>
                <w:rFonts w:ascii="Calibri" w:hAnsi="Calibri" w:cs="Calibri"/>
                <w:lang w:val="ro-RO"/>
              </w:rPr>
              <w:t>utilităților</w:t>
            </w:r>
            <w:r w:rsidRPr="00B63696">
              <w:rPr>
                <w:rFonts w:ascii="Calibri" w:hAnsi="Calibri" w:cs="Calibri"/>
                <w:lang w:val="ro-RO"/>
              </w:rPr>
              <w:t xml:space="preserve">, în cazul suplimentării </w:t>
            </w:r>
            <w:r w:rsidR="00CA70CF" w:rsidRPr="00B63696">
              <w:rPr>
                <w:rFonts w:ascii="Calibri" w:hAnsi="Calibri" w:cs="Calibri"/>
                <w:lang w:val="ro-RO"/>
              </w:rPr>
              <w:t>capacității</w:t>
            </w:r>
            <w:r w:rsidRPr="00B63696">
              <w:rPr>
                <w:rFonts w:ascii="Calibri" w:hAnsi="Calibri" w:cs="Calibri"/>
                <w:lang w:val="ro-RO"/>
              </w:rPr>
              <w:t xml:space="preserve"> existente?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Actul administrativ al </w:t>
            </w:r>
            <w:r w:rsidR="00CA70CF" w:rsidRPr="00B63696">
              <w:rPr>
                <w:rFonts w:ascii="Calibri" w:hAnsi="Calibri" w:cs="Calibri"/>
                <w:lang w:val="ro-RO"/>
              </w:rPr>
              <w:t>autorității</w:t>
            </w:r>
            <w:r w:rsidRPr="00B63696">
              <w:rPr>
                <w:rFonts w:ascii="Calibri" w:hAnsi="Calibri" w:cs="Calibri"/>
                <w:lang w:val="ro-RO"/>
              </w:rPr>
              <w:t xml:space="preserve"> competente pentru </w:t>
            </w:r>
            <w:r w:rsidR="00CA70CF" w:rsidRPr="00B63696">
              <w:rPr>
                <w:rFonts w:ascii="Calibri" w:hAnsi="Calibri" w:cs="Calibri"/>
                <w:lang w:val="ro-RO"/>
              </w:rPr>
              <w:t>protecția</w:t>
            </w:r>
            <w:r w:rsidRPr="00B63696">
              <w:rPr>
                <w:rFonts w:ascii="Calibri" w:hAnsi="Calibri" w:cs="Calibri"/>
                <w:lang w:val="ro-RO"/>
              </w:rPr>
              <w:t xml:space="preserve"> mediului, măsurile de diminuare a impactului, măsurile de compensare, modalitatea de integrare a prevederilor acordului </w:t>
            </w:r>
            <w:r w:rsidRPr="00B63696">
              <w:rPr>
                <w:rFonts w:ascii="Calibri" w:hAnsi="Calibri" w:cs="Calibri"/>
                <w:lang w:val="ro-RO"/>
              </w:rPr>
              <w:lastRenderedPageBreak/>
              <w:t xml:space="preserve">de mediu, de principiu, în </w:t>
            </w:r>
            <w:r w:rsidR="00CA70CF" w:rsidRPr="00B63696">
              <w:rPr>
                <w:rFonts w:ascii="Calibri" w:hAnsi="Calibri" w:cs="Calibri"/>
                <w:lang w:val="ro-RO"/>
              </w:rPr>
              <w:t>documentația</w:t>
            </w:r>
            <w:r w:rsidRPr="00B63696">
              <w:rPr>
                <w:rFonts w:ascii="Calibri" w:hAnsi="Calibri" w:cs="Calibri"/>
                <w:lang w:val="ro-RO"/>
              </w:rPr>
              <w:t xml:space="preserve"> tehnico-economică ? sau  are clasarea notificării.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Avizele, acordurile şi studiile specifice obținute/efectuate până la data depunerii cererii de finanțare, după caz, care pot </w:t>
            </w:r>
            <w:r w:rsidR="00CA70CF" w:rsidRPr="00B63696">
              <w:rPr>
                <w:rFonts w:ascii="Calibri" w:hAnsi="Calibri" w:cs="Calibri"/>
                <w:lang w:val="ro-RO"/>
              </w:rPr>
              <w:t>condiționa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CA70CF" w:rsidRPr="00B63696">
              <w:rPr>
                <w:rFonts w:ascii="Calibri" w:hAnsi="Calibri" w:cs="Calibri"/>
                <w:lang w:val="ro-RO"/>
              </w:rPr>
              <w:t>soluțiile</w:t>
            </w:r>
            <w:r w:rsidRPr="00B63696">
              <w:rPr>
                <w:rFonts w:ascii="Calibri" w:hAnsi="Calibri" w:cs="Calibri"/>
                <w:lang w:val="ro-RO"/>
              </w:rPr>
              <w:t xml:space="preserve"> tehnice, precum: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privind posibilitatea utilizării unor sisteme alternative de </w:t>
            </w:r>
            <w:r w:rsidR="00CA70CF" w:rsidRPr="00B63696">
              <w:rPr>
                <w:rFonts w:ascii="Calibri" w:hAnsi="Calibri" w:cs="Calibri"/>
                <w:lang w:val="ro-RO"/>
              </w:rPr>
              <w:t>eficiență</w:t>
            </w:r>
            <w:r w:rsidRPr="00B63696">
              <w:rPr>
                <w:rFonts w:ascii="Calibri" w:hAnsi="Calibri" w:cs="Calibri"/>
                <w:lang w:val="ro-RO"/>
              </w:rPr>
              <w:t xml:space="preserve"> ridicată pentru </w:t>
            </w:r>
            <w:r w:rsidR="00CA70CF" w:rsidRPr="00B63696">
              <w:rPr>
                <w:rFonts w:ascii="Calibri" w:hAnsi="Calibri" w:cs="Calibri"/>
                <w:lang w:val="ro-RO"/>
              </w:rPr>
              <w:t>creșterea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9508FA" w:rsidRPr="00B63696">
              <w:rPr>
                <w:rFonts w:ascii="Calibri" w:hAnsi="Calibri" w:cs="Calibri"/>
                <w:lang w:val="ro-RO"/>
              </w:rPr>
              <w:t>performanței</w:t>
            </w:r>
            <w:r w:rsidRPr="00B63696">
              <w:rPr>
                <w:rFonts w:ascii="Calibri" w:hAnsi="Calibri" w:cs="Calibri"/>
                <w:lang w:val="ro-RO"/>
              </w:rPr>
              <w:t xml:space="preserve"> energetice?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de trafic şi studiu de </w:t>
            </w:r>
            <w:r w:rsidR="00CA70CF" w:rsidRPr="00B63696">
              <w:rPr>
                <w:rFonts w:ascii="Calibri" w:hAnsi="Calibri" w:cs="Calibri"/>
                <w:lang w:val="ro-RO"/>
              </w:rPr>
              <w:t>circulație</w:t>
            </w:r>
            <w:r w:rsidRPr="00B63696">
              <w:rPr>
                <w:rFonts w:ascii="Calibri" w:hAnsi="Calibri" w:cs="Calibri"/>
                <w:lang w:val="ro-RO"/>
              </w:rPr>
              <w:t>, după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raport de diagnostic arheologic, în cazul </w:t>
            </w:r>
            <w:r w:rsidR="00CA70CF" w:rsidRPr="00B63696">
              <w:rPr>
                <w:rFonts w:ascii="Calibri" w:hAnsi="Calibri" w:cs="Calibri"/>
                <w:lang w:val="ro-RO"/>
              </w:rPr>
              <w:t>intervențiilor</w:t>
            </w:r>
            <w:r w:rsidRPr="00B63696">
              <w:rPr>
                <w:rFonts w:ascii="Calibri" w:hAnsi="Calibri" w:cs="Calibri"/>
                <w:lang w:val="ro-RO"/>
              </w:rPr>
              <w:t xml:space="preserve"> în situri arheologice?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 istoric, în cazul monumentelor istorice?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studii de specialitate necesare în </w:t>
            </w:r>
            <w:r w:rsidR="00AD7CAF" w:rsidRPr="00B63696">
              <w:rPr>
                <w:rFonts w:ascii="Calibri" w:hAnsi="Calibri" w:cs="Calibri"/>
                <w:lang w:val="ro-RO"/>
              </w:rPr>
              <w:t>funcție</w:t>
            </w:r>
            <w:r w:rsidRPr="00B63696">
              <w:rPr>
                <w:rFonts w:ascii="Calibri" w:hAnsi="Calibri" w:cs="Calibri"/>
                <w:lang w:val="ro-RO"/>
              </w:rPr>
              <w:t xml:space="preserve"> de specificul </w:t>
            </w:r>
            <w:r w:rsidR="00AD7CAF" w:rsidRPr="00B63696">
              <w:rPr>
                <w:rFonts w:ascii="Calibri" w:hAnsi="Calibri" w:cs="Calibri"/>
                <w:lang w:val="ro-RO"/>
              </w:rPr>
              <w:t>investiției</w:t>
            </w:r>
            <w:r w:rsidRPr="00B63696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scrise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sunt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corelate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cu</w:t>
            </w:r>
            <w:r w:rsidR="00D202B1"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cele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3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corelare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între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Devizul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general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="009D7EB0">
              <w:rPr>
                <w:rFonts w:ascii="Calibri" w:hAnsi="Calibri" w:cs="Calibri"/>
                <w:lang w:val="ro-RO"/>
              </w:rPr>
              <w:t>ș</w:t>
            </w:r>
            <w:r w:rsidRPr="00B63696">
              <w:rPr>
                <w:rFonts w:ascii="Calibri" w:hAnsi="Calibri" w:cs="Calibri"/>
                <w:lang w:val="ro-RO"/>
              </w:rPr>
              <w:t>i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Devizele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CA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AD7CAF" w:rsidRPr="00B63696" w:rsidRDefault="00AD7CAF" w:rsidP="00AD7CAF">
      <w:pPr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 xml:space="preserve">În cazul bifării cu NU la oricare din criterii proiectul se respinge. </w:t>
      </w:r>
    </w:p>
    <w:p w:rsidR="00AD7CAF" w:rsidRPr="00B63696" w:rsidRDefault="00AD7CAF" w:rsidP="00AD7CAF">
      <w:pPr>
        <w:ind w:left="831"/>
        <w:rPr>
          <w:rFonts w:ascii="Calibri" w:hAnsi="Calibri" w:cs="Calibri"/>
          <w:b/>
        </w:rPr>
      </w:pPr>
    </w:p>
    <w:p w:rsidR="00D44351" w:rsidRPr="00B63696" w:rsidRDefault="00AD7CAF" w:rsidP="007D3EF9">
      <w:pPr>
        <w:jc w:val="both"/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>Se pot formula recomandări (cu precizarea explicită a momentului prevăzut pentru soluționarea acestora) cu excepția criteriilor 5 și/sau 10 (oricare din cele două, sau ambele simultan) din cadrul Secțiunii II.</w:t>
      </w:r>
    </w:p>
    <w:sectPr w:rsidR="00D44351" w:rsidRPr="00B63696" w:rsidSect="00EE2B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D2B" w:rsidRDefault="00436D2B">
      <w:r>
        <w:separator/>
      </w:r>
    </w:p>
  </w:endnote>
  <w:endnote w:type="continuationSeparator" w:id="0">
    <w:p w:rsidR="00436D2B" w:rsidRDefault="0043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AF6018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AF6018">
    <w:pPr>
      <w:pStyle w:val="Footer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D2B" w:rsidRDefault="00436D2B">
      <w:r>
        <w:separator/>
      </w:r>
    </w:p>
  </w:footnote>
  <w:footnote w:type="continuationSeparator" w:id="0">
    <w:p w:rsidR="00436D2B" w:rsidRDefault="00436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E5" w:rsidRPr="00BC2CE5" w:rsidRDefault="00AF6018" w:rsidP="00BC2CE5">
    <w:pPr>
      <w:pStyle w:val="Heading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9D6C9C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Heading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E46895">
      <w:rPr>
        <w:rFonts w:ascii="Calibri" w:hAnsi="Calibri" w:cs="Calibri"/>
        <w:b w:val="0"/>
        <w:color w:val="999999"/>
        <w:sz w:val="22"/>
        <w:szCs w:val="22"/>
      </w:rPr>
      <w:t>10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E46895">
      <w:rPr>
        <w:rFonts w:ascii="Calibri" w:hAnsi="Calibri" w:cs="Calibri"/>
        <w:b w:val="0"/>
        <w:color w:val="999999"/>
        <w:sz w:val="22"/>
        <w:szCs w:val="22"/>
      </w:rPr>
      <w:t>10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D24424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2BC782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A8AA71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342136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D0E447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BF7" w:rsidRDefault="00AF6018" w:rsidP="00EE2BF7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1175F2"/>
    <w:rsid w:val="00134DEE"/>
    <w:rsid w:val="001357F6"/>
    <w:rsid w:val="00144BFD"/>
    <w:rsid w:val="00163AF4"/>
    <w:rsid w:val="001679F8"/>
    <w:rsid w:val="001726E9"/>
    <w:rsid w:val="001A637E"/>
    <w:rsid w:val="001D40CB"/>
    <w:rsid w:val="001D7627"/>
    <w:rsid w:val="001E7798"/>
    <w:rsid w:val="0021575D"/>
    <w:rsid w:val="00275DCC"/>
    <w:rsid w:val="00284F7C"/>
    <w:rsid w:val="002B3BB9"/>
    <w:rsid w:val="002B42AE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E2E03"/>
    <w:rsid w:val="003F4311"/>
    <w:rsid w:val="004305FA"/>
    <w:rsid w:val="00436D2B"/>
    <w:rsid w:val="00474F02"/>
    <w:rsid w:val="00502151"/>
    <w:rsid w:val="00507932"/>
    <w:rsid w:val="00523BEA"/>
    <w:rsid w:val="0055238C"/>
    <w:rsid w:val="005705BF"/>
    <w:rsid w:val="00571C43"/>
    <w:rsid w:val="005943DA"/>
    <w:rsid w:val="005A6B00"/>
    <w:rsid w:val="005B75BC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D7EB0"/>
    <w:rsid w:val="009F711B"/>
    <w:rsid w:val="00AC3124"/>
    <w:rsid w:val="00AD7ACF"/>
    <w:rsid w:val="00AD7CAF"/>
    <w:rsid w:val="00AE4990"/>
    <w:rsid w:val="00AF0DE7"/>
    <w:rsid w:val="00AF6018"/>
    <w:rsid w:val="00B15233"/>
    <w:rsid w:val="00B42726"/>
    <w:rsid w:val="00B63696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4351"/>
    <w:rsid w:val="00D546B8"/>
    <w:rsid w:val="00D94812"/>
    <w:rsid w:val="00D96085"/>
    <w:rsid w:val="00DA4DB8"/>
    <w:rsid w:val="00DD113C"/>
    <w:rsid w:val="00E32BBC"/>
    <w:rsid w:val="00E46895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AA1BA7D-5C0A-41C9-ADC7-4C6E6E2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D51FE-0328-46DA-8187-6839C773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10</Pages>
  <Words>2716</Words>
  <Characters>15759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18439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2023-09-07T08:31:00Z</dcterms:created>
  <dcterms:modified xsi:type="dcterms:W3CDTF">2023-09-07T08:31:00Z</dcterms:modified>
</cp:coreProperties>
</file>